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7CA0" w14:textId="77777777" w:rsidR="00F63C57" w:rsidRDefault="00F63C57" w:rsidP="00F63C57">
      <w:pPr>
        <w:widowControl w:val="0"/>
        <w:spacing w:line="360" w:lineRule="auto"/>
        <w:rPr>
          <w:rFonts w:ascii="Arial" w:hAnsi="Arial" w:cs="Arial"/>
          <w:b/>
          <w:sz w:val="28"/>
        </w:rPr>
      </w:pPr>
      <w:r>
        <w:rPr>
          <w:rFonts w:ascii="Arial" w:hAnsi="Arial" w:cs="Arial"/>
          <w:b/>
          <w:sz w:val="28"/>
        </w:rPr>
        <w:t xml:space="preserve">Flexibel und einfach abschotten mit </w:t>
      </w:r>
      <w:r w:rsidRPr="00737C31">
        <w:rPr>
          <w:rFonts w:ascii="Arial Black" w:hAnsi="Arial Black" w:cs="Arial"/>
          <w:b/>
          <w:sz w:val="28"/>
        </w:rPr>
        <w:t>ZZ</w:t>
      </w:r>
      <w:r w:rsidRPr="00737C31">
        <w:rPr>
          <w:rFonts w:ascii="Arial Black" w:hAnsi="Arial Black" w:cs="Arial"/>
          <w:b/>
          <w:sz w:val="28"/>
          <w:vertAlign w:val="superscript"/>
        </w:rPr>
        <w:t>®</w:t>
      </w:r>
      <w:r>
        <w:rPr>
          <w:rFonts w:ascii="Arial" w:hAnsi="Arial" w:cs="Arial"/>
          <w:b/>
          <w:sz w:val="28"/>
        </w:rPr>
        <w:t xml:space="preserve"> M21-S90 </w:t>
      </w:r>
    </w:p>
    <w:p w14:paraId="37ABF220" w14:textId="77777777" w:rsidR="00F63C57" w:rsidRDefault="00F63C57" w:rsidP="009E1EEF">
      <w:pPr>
        <w:rPr>
          <w:rFonts w:ascii="Arial" w:hAnsi="Arial" w:cs="Arial"/>
        </w:rPr>
      </w:pPr>
    </w:p>
    <w:p w14:paraId="115993CA" w14:textId="31D674F8" w:rsidR="009E1EEF" w:rsidRPr="009E1EEF" w:rsidRDefault="009E1EEF" w:rsidP="00F63C57">
      <w:pPr>
        <w:spacing w:line="308" w:lineRule="exact"/>
        <w:jc w:val="both"/>
        <w:rPr>
          <w:rFonts w:ascii="Arial" w:hAnsi="Arial" w:cs="Arial"/>
          <w:b/>
          <w:bCs/>
        </w:rPr>
      </w:pPr>
      <w:r w:rsidRPr="009E1EEF">
        <w:rPr>
          <w:rFonts w:ascii="Arial" w:hAnsi="Arial" w:cs="Arial"/>
          <w:b/>
          <w:bCs/>
        </w:rPr>
        <w:t xml:space="preserve">Wo technische Gebäudeausrüstung auf baulichen Brandschutz trifft, sind durchdachte Systemlösungen gefragt. Gerade bei hochbelegten Wand- und Deckendurchführungen zählt neben der geprüften Sicherheit vor allem eines: Flexibilität in der Planung und Ausführung. Mit der Kombiabschottung </w:t>
      </w:r>
      <w:r w:rsidRPr="009E1EEF">
        <w:rPr>
          <w:rFonts w:ascii="Arial Black" w:hAnsi="Arial Black" w:cs="Arial"/>
          <w:b/>
          <w:bCs/>
        </w:rPr>
        <w:t>ZZ</w:t>
      </w:r>
      <w:r w:rsidRPr="009E1EEF">
        <w:rPr>
          <w:rFonts w:ascii="Arial Black" w:hAnsi="Arial Black" w:cs="Arial"/>
          <w:b/>
          <w:bCs/>
          <w:vertAlign w:val="superscript"/>
        </w:rPr>
        <w:t>®</w:t>
      </w:r>
      <w:r w:rsidRPr="009E1EEF">
        <w:rPr>
          <w:rFonts w:ascii="Arial" w:hAnsi="Arial" w:cs="Arial"/>
          <w:b/>
          <w:bCs/>
        </w:rPr>
        <w:t xml:space="preserve"> M21-S90 bietet die ZAPP-ZIMMERMANN eine Lösung, die diesen Anforderungen in besonderem Maße gerecht wird – wirtschaftlich, montagefreundlich und mit </w:t>
      </w:r>
      <w:r w:rsidRPr="00F63C57">
        <w:rPr>
          <w:rFonts w:ascii="Arial" w:hAnsi="Arial" w:cs="Arial"/>
          <w:b/>
          <w:bCs/>
        </w:rPr>
        <w:t>großem</w:t>
      </w:r>
      <w:r w:rsidRPr="009E1EEF">
        <w:rPr>
          <w:rFonts w:ascii="Arial" w:hAnsi="Arial" w:cs="Arial"/>
          <w:b/>
          <w:bCs/>
        </w:rPr>
        <w:t xml:space="preserve"> Anwendungsspektrum.</w:t>
      </w:r>
    </w:p>
    <w:p w14:paraId="34876435" w14:textId="2337CF27" w:rsidR="009E1EEF" w:rsidRPr="009E1EEF" w:rsidRDefault="009E1EEF" w:rsidP="00B54C98">
      <w:pPr>
        <w:spacing w:line="308" w:lineRule="exact"/>
        <w:rPr>
          <w:rFonts w:ascii="Arial" w:hAnsi="Arial" w:cs="Arial"/>
          <w:b/>
          <w:bCs/>
        </w:rPr>
      </w:pPr>
    </w:p>
    <w:p w14:paraId="491C0518" w14:textId="50580BB1" w:rsidR="009E1EEF" w:rsidRPr="009E1EEF" w:rsidRDefault="009E1EEF" w:rsidP="00B54C98">
      <w:pPr>
        <w:spacing w:line="308" w:lineRule="exact"/>
        <w:rPr>
          <w:rFonts w:ascii="Arial" w:hAnsi="Arial" w:cs="Arial"/>
        </w:rPr>
      </w:pPr>
      <w:r w:rsidRPr="009E1EEF">
        <w:rPr>
          <w:rFonts w:ascii="Arial" w:hAnsi="Arial" w:cs="Arial"/>
        </w:rPr>
        <w:t xml:space="preserve">Die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M21-S90</w:t>
      </w:r>
      <w:r w:rsidR="00BA3C90">
        <w:rPr>
          <w:rFonts w:ascii="Arial" w:hAnsi="Arial" w:cs="Arial"/>
          <w:b/>
          <w:bCs/>
        </w:rPr>
        <w:t xml:space="preserve"> Kombiabschottung</w:t>
      </w:r>
      <w:r w:rsidRPr="009E1EEF">
        <w:rPr>
          <w:rFonts w:ascii="Arial" w:hAnsi="Arial" w:cs="Arial"/>
        </w:rPr>
        <w:t xml:space="preserve"> ist für den Einsatz in Massivwänden und -decken sowie in leichten Trennwänden konzipiert. Ein wesentlicher Vorteil: Das System kann sowohl im Längseinbau mit einer Schottdicke von 170 mm als auch im Quereinbau mit nur 120 mm Dicke ausgeführt werden – und das mit de</w:t>
      </w:r>
      <w:r w:rsidR="00BB7703">
        <w:rPr>
          <w:rFonts w:ascii="Arial" w:hAnsi="Arial" w:cs="Arial"/>
        </w:rPr>
        <w:t>m</w:t>
      </w:r>
      <w:r w:rsidRPr="009E1EEF">
        <w:rPr>
          <w:rFonts w:ascii="Arial" w:hAnsi="Arial" w:cs="Arial"/>
        </w:rPr>
        <w:t>selben Brandschutzstein</w:t>
      </w:r>
      <w:r w:rsidR="00684235">
        <w:rPr>
          <w:rFonts w:ascii="Arial" w:hAnsi="Arial" w:cs="Arial"/>
        </w:rPr>
        <w:t xml:space="preserve"> </w:t>
      </w:r>
      <w:r w:rsidR="00684235" w:rsidRPr="009E1EEF">
        <w:rPr>
          <w:rFonts w:ascii="Arial Black" w:hAnsi="Arial Black" w:cs="Arial"/>
        </w:rPr>
        <w:t>ZZ</w:t>
      </w:r>
      <w:r w:rsidR="00684235" w:rsidRPr="009E1EEF">
        <w:rPr>
          <w:rFonts w:ascii="Arial Black" w:hAnsi="Arial Black" w:cs="Arial"/>
          <w:vertAlign w:val="superscript"/>
        </w:rPr>
        <w:t>®</w:t>
      </w:r>
      <w:r w:rsidR="00684235" w:rsidRPr="009E1EEF">
        <w:rPr>
          <w:rFonts w:ascii="Arial" w:hAnsi="Arial" w:cs="Arial"/>
        </w:rPr>
        <w:t xml:space="preserve"> </w:t>
      </w:r>
      <w:r w:rsidR="00684235" w:rsidRPr="009E1EEF">
        <w:rPr>
          <w:rFonts w:ascii="Arial" w:hAnsi="Arial" w:cs="Arial"/>
          <w:b/>
          <w:bCs/>
        </w:rPr>
        <w:t>217-120</w:t>
      </w:r>
      <w:r w:rsidRPr="009E1EEF">
        <w:rPr>
          <w:rFonts w:ascii="Arial" w:hAnsi="Arial" w:cs="Arial"/>
        </w:rPr>
        <w:t>.</w:t>
      </w:r>
    </w:p>
    <w:p w14:paraId="07C8C354" w14:textId="3B8EA8D9" w:rsidR="00285E21" w:rsidRDefault="009E1EEF" w:rsidP="00B54C98">
      <w:pPr>
        <w:spacing w:line="308" w:lineRule="exact"/>
        <w:rPr>
          <w:rFonts w:ascii="Arial" w:hAnsi="Arial" w:cs="Arial"/>
        </w:rPr>
      </w:pPr>
      <w:r w:rsidRPr="009E1EEF">
        <w:rPr>
          <w:rFonts w:ascii="Arial" w:hAnsi="Arial" w:cs="Arial"/>
        </w:rPr>
        <w:t xml:space="preserve">Insbesondere der Quereinbau eröffnet wirtschaftliche Vorteile. Bei einer Schottdicke von lediglich 120 mm lässt sich mit gleicher Steinanzahl eine bis zu 42 % größere Öffnungsfläche sicher verschließen. Gleichzeitig reduziert sich der Materialeinsatz an Brandschutzsteinen um bis zu 42 %. Durch die geringe Schottdicke </w:t>
      </w:r>
      <w:r w:rsidR="00904028">
        <w:rPr>
          <w:rFonts w:ascii="Arial" w:hAnsi="Arial" w:cs="Arial"/>
        </w:rPr>
        <w:t>entfallen</w:t>
      </w:r>
      <w:r w:rsidRPr="009E1EEF">
        <w:rPr>
          <w:rFonts w:ascii="Arial" w:hAnsi="Arial" w:cs="Arial"/>
        </w:rPr>
        <w:t xml:space="preserve"> </w:t>
      </w:r>
      <w:r w:rsidR="00904028" w:rsidRPr="009E1EEF">
        <w:rPr>
          <w:rFonts w:ascii="Arial" w:hAnsi="Arial" w:cs="Arial"/>
        </w:rPr>
        <w:t xml:space="preserve">in vielen Fällen </w:t>
      </w:r>
      <w:r w:rsidRPr="009E1EEF">
        <w:rPr>
          <w:rFonts w:ascii="Arial" w:hAnsi="Arial" w:cs="Arial"/>
        </w:rPr>
        <w:t>zusätzliche Montageschritte</w:t>
      </w:r>
      <w:r w:rsidR="00904028">
        <w:rPr>
          <w:rFonts w:ascii="Arial" w:hAnsi="Arial" w:cs="Arial"/>
        </w:rPr>
        <w:t>, wie</w:t>
      </w:r>
      <w:r w:rsidRPr="009E1EEF">
        <w:rPr>
          <w:rFonts w:ascii="Arial" w:hAnsi="Arial" w:cs="Arial"/>
        </w:rPr>
        <w:t xml:space="preserve"> das Anbringen von Rahmen oder Aufleistungen. Das spart Zeit und vereinfacht die Ausführung auf der Baustelle erheblich.</w:t>
      </w:r>
    </w:p>
    <w:p w14:paraId="1B2D1BFF" w14:textId="1E8546FB" w:rsidR="009E1EEF" w:rsidRPr="009E1EEF" w:rsidRDefault="00667DB1" w:rsidP="00CE1FE4">
      <w:pPr>
        <w:spacing w:line="308" w:lineRule="exact"/>
        <w:rPr>
          <w:rFonts w:ascii="Arial" w:hAnsi="Arial" w:cs="Arial"/>
        </w:rPr>
      </w:pPr>
      <w:r w:rsidRPr="009E1EEF">
        <w:rPr>
          <w:rFonts w:ascii="Arial Black" w:hAnsi="Arial Black" w:cs="Arial"/>
          <w:b/>
          <w:bCs/>
        </w:rPr>
        <w:t>ZZ</w:t>
      </w:r>
      <w:r w:rsidRPr="009E1EEF">
        <w:rPr>
          <w:rFonts w:ascii="Arial Black" w:hAnsi="Arial Black" w:cs="Arial"/>
          <w:b/>
          <w:bCs/>
          <w:vertAlign w:val="superscript"/>
        </w:rPr>
        <w:t>®</w:t>
      </w:r>
      <w:r w:rsidRPr="009E1EEF">
        <w:rPr>
          <w:rFonts w:ascii="Arial" w:hAnsi="Arial" w:cs="Arial"/>
          <w:b/>
          <w:bCs/>
        </w:rPr>
        <w:t xml:space="preserve"> M21-S90 </w:t>
      </w:r>
      <w:r w:rsidR="004A1608" w:rsidRPr="0048448D">
        <w:rPr>
          <w:rFonts w:ascii="Arial" w:hAnsi="Arial" w:cs="Arial"/>
        </w:rPr>
        <w:t>verfügt über ein b</w:t>
      </w:r>
      <w:r w:rsidR="009E1EEF" w:rsidRPr="0048448D">
        <w:rPr>
          <w:rFonts w:ascii="Arial" w:hAnsi="Arial" w:cs="Arial"/>
        </w:rPr>
        <w:t>reites</w:t>
      </w:r>
      <w:r w:rsidR="009E1EEF" w:rsidRPr="00667DB1">
        <w:rPr>
          <w:rFonts w:ascii="Arial" w:hAnsi="Arial" w:cs="Arial"/>
        </w:rPr>
        <w:t xml:space="preserve"> Anwendungsspektrum im Quereinbau</w:t>
      </w:r>
      <w:r w:rsidR="004A1608">
        <w:rPr>
          <w:rFonts w:ascii="Arial" w:hAnsi="Arial" w:cs="Arial"/>
        </w:rPr>
        <w:t xml:space="preserve">. </w:t>
      </w:r>
      <w:r w:rsidR="009E1EEF" w:rsidRPr="00667DB1">
        <w:rPr>
          <w:rFonts w:ascii="Arial" w:hAnsi="Arial" w:cs="Arial"/>
        </w:rPr>
        <w:t xml:space="preserve">Der </w:t>
      </w:r>
      <w:r w:rsidR="009E1EEF" w:rsidRPr="00667DB1">
        <w:rPr>
          <w:rFonts w:ascii="Arial Black" w:hAnsi="Arial Black" w:cs="Arial"/>
        </w:rPr>
        <w:t>ZZ</w:t>
      </w:r>
      <w:r w:rsidR="009E1EEF" w:rsidRPr="00667DB1">
        <w:rPr>
          <w:rFonts w:ascii="Arial Black" w:hAnsi="Arial Black" w:cs="Arial"/>
          <w:vertAlign w:val="superscript"/>
        </w:rPr>
        <w:t>®</w:t>
      </w:r>
      <w:r w:rsidR="009E1EEF" w:rsidRPr="00667DB1">
        <w:rPr>
          <w:rFonts w:ascii="Arial" w:hAnsi="Arial" w:cs="Arial"/>
        </w:rPr>
        <w:t xml:space="preserve"> </w:t>
      </w:r>
      <w:r w:rsidR="009E1EEF" w:rsidRPr="004A1608">
        <w:rPr>
          <w:rFonts w:ascii="Arial" w:hAnsi="Arial" w:cs="Arial"/>
          <w:b/>
          <w:bCs/>
        </w:rPr>
        <w:t>217-120 Brandschutzstein</w:t>
      </w:r>
      <w:r w:rsidR="009E1EEF" w:rsidRPr="00667DB1">
        <w:rPr>
          <w:rFonts w:ascii="Arial" w:hAnsi="Arial" w:cs="Arial"/>
        </w:rPr>
        <w:t xml:space="preserve"> in 120 mm</w:t>
      </w:r>
      <w:r w:rsidR="009E1EEF" w:rsidRPr="009E1EEF">
        <w:rPr>
          <w:rFonts w:ascii="Arial" w:hAnsi="Arial" w:cs="Arial"/>
        </w:rPr>
        <w:t xml:space="preserve"> Dicke ist unter anderem geeignet für:</w:t>
      </w:r>
    </w:p>
    <w:p w14:paraId="2C97BE0F" w14:textId="46FB74D0" w:rsidR="009E1EEF" w:rsidRPr="00260AE8" w:rsidRDefault="009E1EEF" w:rsidP="00CE1FE4">
      <w:pPr>
        <w:numPr>
          <w:ilvl w:val="0"/>
          <w:numId w:val="1"/>
        </w:numPr>
        <w:spacing w:line="308" w:lineRule="exact"/>
        <w:rPr>
          <w:rFonts w:ascii="Arial" w:hAnsi="Arial" w:cs="Arial"/>
          <w:b/>
          <w:bCs/>
        </w:rPr>
      </w:pPr>
      <w:r w:rsidRPr="009E1EEF">
        <w:rPr>
          <w:rFonts w:ascii="Arial" w:hAnsi="Arial" w:cs="Arial"/>
        </w:rPr>
        <w:t xml:space="preserve">Kunststoffrohre bis </w:t>
      </w:r>
      <w:r w:rsidR="00731784" w:rsidRPr="00731784">
        <w:rPr>
          <w:rFonts w:ascii="Arial" w:hAnsi="Arial" w:cs="Arial"/>
        </w:rPr>
        <w:t>110</w:t>
      </w:r>
      <w:r w:rsidRPr="00731784">
        <w:rPr>
          <w:rFonts w:ascii="Arial" w:hAnsi="Arial" w:cs="Arial"/>
        </w:rPr>
        <w:t xml:space="preserve"> mm Außendurchmesser</w:t>
      </w:r>
      <w:r w:rsidR="00731784">
        <w:rPr>
          <w:rFonts w:ascii="Arial" w:hAnsi="Arial" w:cs="Arial"/>
        </w:rPr>
        <w:t xml:space="preserve"> mit </w:t>
      </w:r>
      <w:r w:rsidR="00731784" w:rsidRPr="00667DB1">
        <w:rPr>
          <w:rFonts w:ascii="Arial Black" w:hAnsi="Arial Black" w:cs="Arial"/>
        </w:rPr>
        <w:t>ZZ</w:t>
      </w:r>
      <w:r w:rsidR="00731784" w:rsidRPr="00667DB1">
        <w:rPr>
          <w:rFonts w:ascii="Arial Black" w:hAnsi="Arial Black" w:cs="Arial"/>
          <w:vertAlign w:val="superscript"/>
        </w:rPr>
        <w:t>®</w:t>
      </w:r>
      <w:r w:rsidR="00731784">
        <w:rPr>
          <w:rFonts w:ascii="Arial Black" w:hAnsi="Arial Black" w:cs="Arial"/>
          <w:vertAlign w:val="superscript"/>
        </w:rPr>
        <w:t xml:space="preserve"> </w:t>
      </w:r>
      <w:r w:rsidR="00731784">
        <w:rPr>
          <w:rFonts w:ascii="Arial" w:hAnsi="Arial" w:cs="Arial"/>
        </w:rPr>
        <w:t xml:space="preserve"> </w:t>
      </w:r>
      <w:r w:rsidR="00260AE8" w:rsidRPr="00260AE8">
        <w:rPr>
          <w:rFonts w:ascii="Arial" w:hAnsi="Arial" w:cs="Arial"/>
          <w:b/>
          <w:bCs/>
        </w:rPr>
        <w:t xml:space="preserve">400 </w:t>
      </w:r>
      <w:r w:rsidR="00731784" w:rsidRPr="00260AE8">
        <w:rPr>
          <w:rFonts w:ascii="Arial" w:hAnsi="Arial" w:cs="Arial"/>
          <w:b/>
          <w:bCs/>
        </w:rPr>
        <w:t>Brandschutzmanschette</w:t>
      </w:r>
    </w:p>
    <w:p w14:paraId="546316AC" w14:textId="063F92FD" w:rsidR="009E1EEF" w:rsidRPr="009E1EEF" w:rsidRDefault="009E1EEF" w:rsidP="00CE1FE4">
      <w:pPr>
        <w:numPr>
          <w:ilvl w:val="0"/>
          <w:numId w:val="1"/>
        </w:numPr>
        <w:spacing w:line="308" w:lineRule="exact"/>
        <w:rPr>
          <w:rFonts w:ascii="Arial" w:hAnsi="Arial" w:cs="Arial"/>
        </w:rPr>
      </w:pPr>
      <w:r w:rsidRPr="009E1EEF">
        <w:rPr>
          <w:rFonts w:ascii="Arial" w:hAnsi="Arial" w:cs="Arial"/>
        </w:rPr>
        <w:t>Nichtbrennbare Rohre bis 168 mm Außendurchmesser</w:t>
      </w:r>
      <w:r w:rsidR="00124769">
        <w:rPr>
          <w:rFonts w:ascii="Arial" w:hAnsi="Arial" w:cs="Arial"/>
        </w:rPr>
        <w:t xml:space="preserve"> mit Mineralwoll</w:t>
      </w:r>
      <w:r w:rsidR="00C2451B">
        <w:rPr>
          <w:rFonts w:ascii="Arial" w:hAnsi="Arial" w:cs="Arial"/>
        </w:rPr>
        <w:t>e-I</w:t>
      </w:r>
      <w:r w:rsidR="00124769">
        <w:rPr>
          <w:rFonts w:ascii="Arial" w:hAnsi="Arial" w:cs="Arial"/>
        </w:rPr>
        <w:t>solierung</w:t>
      </w:r>
    </w:p>
    <w:p w14:paraId="78699A6D" w14:textId="77777777" w:rsidR="009E1EEF" w:rsidRPr="009E1EEF" w:rsidRDefault="009E1EEF" w:rsidP="00CE1FE4">
      <w:pPr>
        <w:numPr>
          <w:ilvl w:val="0"/>
          <w:numId w:val="1"/>
        </w:numPr>
        <w:spacing w:line="308" w:lineRule="exact"/>
        <w:rPr>
          <w:rFonts w:ascii="Arial" w:hAnsi="Arial" w:cs="Arial"/>
        </w:rPr>
      </w:pPr>
      <w:r w:rsidRPr="009E1EEF">
        <w:rPr>
          <w:rFonts w:ascii="Arial" w:hAnsi="Arial" w:cs="Arial"/>
        </w:rPr>
        <w:t>Elektrokabel aller Art bis 22 mm Durchmesser</w:t>
      </w:r>
    </w:p>
    <w:p w14:paraId="06562E8E" w14:textId="77777777" w:rsidR="009E1EEF" w:rsidRPr="009E1EEF" w:rsidRDefault="009E1EEF" w:rsidP="00CE1FE4">
      <w:pPr>
        <w:numPr>
          <w:ilvl w:val="0"/>
          <w:numId w:val="1"/>
        </w:numPr>
        <w:spacing w:line="308" w:lineRule="exact"/>
        <w:rPr>
          <w:rFonts w:ascii="Arial" w:hAnsi="Arial" w:cs="Arial"/>
        </w:rPr>
      </w:pPr>
      <w:r w:rsidRPr="009E1EEF">
        <w:rPr>
          <w:rFonts w:ascii="Arial" w:hAnsi="Arial" w:cs="Arial"/>
        </w:rPr>
        <w:t>Speed-Pipes</w:t>
      </w:r>
      <w:r w:rsidRPr="00A2124B">
        <w:rPr>
          <w:rFonts w:ascii="Arial" w:hAnsi="Arial" w:cs="Arial"/>
          <w:vertAlign w:val="superscript"/>
        </w:rPr>
        <w:t xml:space="preserve">® </w:t>
      </w:r>
      <w:r w:rsidRPr="009E1EEF">
        <w:rPr>
          <w:rFonts w:ascii="Arial" w:hAnsi="Arial" w:cs="Arial"/>
        </w:rPr>
        <w:t>(Leerrohre für das Einblasen von Glasfaserkabeln) mit einem Bündeldurchmesser bis 80 mm</w:t>
      </w:r>
    </w:p>
    <w:p w14:paraId="0684BE0C" w14:textId="073D11EF" w:rsidR="00A2124B" w:rsidRPr="009E1EEF" w:rsidRDefault="009E1EEF" w:rsidP="00CE1FE4">
      <w:pPr>
        <w:spacing w:line="308" w:lineRule="exact"/>
        <w:rPr>
          <w:rFonts w:ascii="Arial" w:hAnsi="Arial" w:cs="Arial"/>
        </w:rPr>
      </w:pPr>
      <w:r w:rsidRPr="009E1EEF">
        <w:rPr>
          <w:rFonts w:ascii="Arial" w:hAnsi="Arial" w:cs="Arial"/>
        </w:rPr>
        <w:t xml:space="preserve">Bei größeren Kabeldurchmessern ist ergänzend die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421-150 Brandschutzbandage</w:t>
      </w:r>
      <w:r w:rsidRPr="009E1EEF">
        <w:rPr>
          <w:rFonts w:ascii="Arial" w:hAnsi="Arial" w:cs="Arial"/>
        </w:rPr>
        <w:t xml:space="preserve"> </w:t>
      </w:r>
      <w:r w:rsidR="00F000D2">
        <w:rPr>
          <w:rFonts w:ascii="Arial" w:hAnsi="Arial" w:cs="Arial"/>
        </w:rPr>
        <w:t>einsetzbar</w:t>
      </w:r>
      <w:r w:rsidRPr="009E1EEF">
        <w:rPr>
          <w:rFonts w:ascii="Arial" w:hAnsi="Arial" w:cs="Arial"/>
        </w:rPr>
        <w:t>, die sich einfach von der Rolle verarbeiten lässt.</w:t>
      </w:r>
    </w:p>
    <w:p w14:paraId="573F7A39" w14:textId="01EB2255" w:rsidR="00A2124B" w:rsidRDefault="009E1EEF" w:rsidP="00CE1FE4">
      <w:pPr>
        <w:spacing w:line="308" w:lineRule="exact"/>
        <w:rPr>
          <w:rFonts w:ascii="Arial" w:hAnsi="Arial" w:cs="Arial"/>
        </w:rPr>
      </w:pPr>
      <w:r w:rsidRPr="009E1EEF">
        <w:rPr>
          <w:rFonts w:ascii="Arial" w:hAnsi="Arial" w:cs="Arial"/>
        </w:rPr>
        <w:t>Auch in engen Arbeitsräumen können nichtbrennbare Rohre mit und ohne Isolierung bis 168 mm sowie Kunststoffrohre bis 160 mm sicher abgeschottet werden. Einzelne Rohre oder Kabel, die dicht am Schott anliegen, benötigen in Wänden keine zusätzliche Abdichtmasse – ein weiterer Vorteil in der praktischen Umsetzung.</w:t>
      </w:r>
    </w:p>
    <w:p w14:paraId="0B3B4062" w14:textId="77777777" w:rsidR="006155BB" w:rsidRDefault="006155BB" w:rsidP="00CE1FE4">
      <w:pPr>
        <w:spacing w:line="308" w:lineRule="exact"/>
        <w:rPr>
          <w:rFonts w:ascii="Arial" w:hAnsi="Arial" w:cs="Arial"/>
        </w:rPr>
      </w:pPr>
    </w:p>
    <w:p w14:paraId="68A58530" w14:textId="4527436B" w:rsidR="009E1EEF" w:rsidRPr="009E1EEF" w:rsidRDefault="009E1EEF" w:rsidP="00CE1FE4">
      <w:pPr>
        <w:spacing w:line="308" w:lineRule="exact"/>
        <w:rPr>
          <w:rFonts w:ascii="Arial" w:hAnsi="Arial" w:cs="Arial"/>
        </w:rPr>
      </w:pPr>
      <w:r w:rsidRPr="009E1EEF">
        <w:rPr>
          <w:rFonts w:ascii="Arial" w:hAnsi="Arial" w:cs="Arial"/>
        </w:rPr>
        <w:t xml:space="preserve">Für den Längseinbau mit 170 mm Schottdicke </w:t>
      </w:r>
      <w:r w:rsidRPr="00CE1FE4">
        <w:rPr>
          <w:rFonts w:ascii="Arial" w:hAnsi="Arial" w:cs="Arial"/>
        </w:rPr>
        <w:t>ist</w:t>
      </w:r>
      <w:r w:rsidRPr="009E1EEF">
        <w:rPr>
          <w:rFonts w:ascii="Arial" w:hAnsi="Arial" w:cs="Arial"/>
        </w:rPr>
        <w:t xml:space="preserve"> das Spektrum zulässiger Installationen </w:t>
      </w:r>
      <w:r w:rsidRPr="00CE1FE4">
        <w:rPr>
          <w:rFonts w:ascii="Arial" w:hAnsi="Arial" w:cs="Arial"/>
        </w:rPr>
        <w:t>umfangreich</w:t>
      </w:r>
      <w:r w:rsidRPr="009E1EEF">
        <w:rPr>
          <w:rFonts w:ascii="Arial" w:hAnsi="Arial" w:cs="Arial"/>
        </w:rPr>
        <w:t xml:space="preserve">. </w:t>
      </w:r>
      <w:r w:rsidR="002F7AEE">
        <w:rPr>
          <w:rFonts w:ascii="Arial" w:hAnsi="Arial" w:cs="Arial"/>
        </w:rPr>
        <w:t>A</w:t>
      </w:r>
      <w:r w:rsidRPr="009E1EEF">
        <w:rPr>
          <w:rFonts w:ascii="Arial" w:hAnsi="Arial" w:cs="Arial"/>
        </w:rPr>
        <w:t>bgeschottet werden</w:t>
      </w:r>
      <w:r w:rsidR="002F7AEE">
        <w:rPr>
          <w:rFonts w:ascii="Arial" w:hAnsi="Arial" w:cs="Arial"/>
        </w:rPr>
        <w:t xml:space="preserve"> können unter anderem</w:t>
      </w:r>
      <w:r w:rsidRPr="009E1EEF">
        <w:rPr>
          <w:rFonts w:ascii="Arial" w:hAnsi="Arial" w:cs="Arial"/>
        </w:rPr>
        <w:t>:</w:t>
      </w:r>
    </w:p>
    <w:p w14:paraId="30F374EE" w14:textId="77777777" w:rsidR="009E1EEF" w:rsidRPr="009E1EEF" w:rsidRDefault="009E1EEF" w:rsidP="00CE1FE4">
      <w:pPr>
        <w:numPr>
          <w:ilvl w:val="0"/>
          <w:numId w:val="2"/>
        </w:numPr>
        <w:spacing w:line="308" w:lineRule="exact"/>
        <w:rPr>
          <w:rFonts w:ascii="Arial" w:hAnsi="Arial" w:cs="Arial"/>
        </w:rPr>
      </w:pPr>
      <w:r w:rsidRPr="009E1EEF">
        <w:rPr>
          <w:rFonts w:ascii="Arial" w:hAnsi="Arial" w:cs="Arial"/>
        </w:rPr>
        <w:lastRenderedPageBreak/>
        <w:t>Vorisolierte Kupferrohre mit PE-Dämmung für Kälte- und Klimatechnik (Klima- bzw. Klimasplit-Leitungen)</w:t>
      </w:r>
    </w:p>
    <w:p w14:paraId="06D996EC" w14:textId="77777777" w:rsidR="009E1EEF" w:rsidRPr="009E1EEF" w:rsidRDefault="009E1EEF" w:rsidP="00CE1FE4">
      <w:pPr>
        <w:numPr>
          <w:ilvl w:val="0"/>
          <w:numId w:val="2"/>
        </w:numPr>
        <w:spacing w:line="308" w:lineRule="exact"/>
        <w:rPr>
          <w:rFonts w:ascii="Arial" w:hAnsi="Arial" w:cs="Arial"/>
        </w:rPr>
      </w:pPr>
      <w:r w:rsidRPr="009E1EEF">
        <w:rPr>
          <w:rFonts w:ascii="Arial" w:hAnsi="Arial" w:cs="Arial"/>
        </w:rPr>
        <w:t>Mit PUR-Dämmung vorisolierte Kupferrohre für Solar-, Heizungs- und Warmwasserinstallationen</w:t>
      </w:r>
    </w:p>
    <w:p w14:paraId="647F81A5" w14:textId="77777777" w:rsidR="009E1EEF" w:rsidRPr="009E1EEF" w:rsidRDefault="009E1EEF" w:rsidP="00CE1FE4">
      <w:pPr>
        <w:numPr>
          <w:ilvl w:val="0"/>
          <w:numId w:val="2"/>
        </w:numPr>
        <w:spacing w:line="308" w:lineRule="exact"/>
        <w:rPr>
          <w:rFonts w:ascii="Arial" w:hAnsi="Arial" w:cs="Arial"/>
        </w:rPr>
      </w:pPr>
      <w:r w:rsidRPr="009E1EEF">
        <w:rPr>
          <w:rFonts w:ascii="Arial" w:hAnsi="Arial" w:cs="Arial"/>
        </w:rPr>
        <w:t xml:space="preserve">Nichtbrennbare Rohre bis 108 mm Außendurchmesser mit </w:t>
      </w:r>
      <w:proofErr w:type="spellStart"/>
      <w:r w:rsidRPr="009E1EEF">
        <w:rPr>
          <w:rFonts w:ascii="Arial" w:hAnsi="Arial" w:cs="Arial"/>
        </w:rPr>
        <w:t>Foamglas</w:t>
      </w:r>
      <w:proofErr w:type="spellEnd"/>
      <w:r w:rsidRPr="009E1EEF">
        <w:rPr>
          <w:rFonts w:ascii="Arial" w:hAnsi="Arial" w:cs="Arial"/>
        </w:rPr>
        <w:t>-Isolierung</w:t>
      </w:r>
    </w:p>
    <w:p w14:paraId="4E8AA598" w14:textId="300BC064" w:rsidR="00285E21" w:rsidRPr="00A2124B" w:rsidRDefault="009E1EEF" w:rsidP="00A2124B">
      <w:pPr>
        <w:numPr>
          <w:ilvl w:val="0"/>
          <w:numId w:val="2"/>
        </w:numPr>
        <w:spacing w:line="308" w:lineRule="exact"/>
        <w:rPr>
          <w:rFonts w:ascii="Arial" w:hAnsi="Arial" w:cs="Arial"/>
        </w:rPr>
      </w:pPr>
      <w:r w:rsidRPr="009E1EEF">
        <w:rPr>
          <w:rFonts w:ascii="Arial" w:hAnsi="Arial" w:cs="Arial"/>
        </w:rPr>
        <w:t>Hochfrequenzkoaxialkabel (Hohlleiterkabel) bis ca. 60 mm Außendurchmesser</w:t>
      </w:r>
    </w:p>
    <w:p w14:paraId="5A37FE10" w14:textId="77777777" w:rsidR="009E1EEF" w:rsidRDefault="009E1EEF" w:rsidP="00CE1FE4">
      <w:pPr>
        <w:spacing w:line="308" w:lineRule="exact"/>
        <w:rPr>
          <w:rFonts w:ascii="Arial" w:hAnsi="Arial" w:cs="Arial"/>
        </w:rPr>
      </w:pPr>
      <w:r w:rsidRPr="009E1EEF">
        <w:rPr>
          <w:rFonts w:ascii="Arial" w:hAnsi="Arial" w:cs="Arial"/>
        </w:rPr>
        <w:t>Letztere können im Nullabstand und ohne zusätzliche Maßnahmen wie Brandschutzbandagen oder -anstriche abgeschottet werden. Diese geprüften Lösungen schaffen Planungssicherheit insbesondere bei technisch anspruchsvollen Anwendungen.</w:t>
      </w:r>
    </w:p>
    <w:p w14:paraId="2BF73950" w14:textId="77777777" w:rsidR="00AD2251" w:rsidRDefault="00AD2251" w:rsidP="00CE1FE4">
      <w:pPr>
        <w:spacing w:line="308" w:lineRule="exact"/>
        <w:rPr>
          <w:rFonts w:ascii="Arial" w:hAnsi="Arial" w:cs="Arial"/>
        </w:rPr>
      </w:pPr>
    </w:p>
    <w:p w14:paraId="460A4665" w14:textId="067C434F" w:rsidR="00AD2251" w:rsidRPr="009E1EEF" w:rsidRDefault="00AD2251" w:rsidP="00AD2251">
      <w:pPr>
        <w:spacing w:line="308" w:lineRule="exact"/>
        <w:rPr>
          <w:rFonts w:ascii="Arial" w:hAnsi="Arial" w:cs="Arial"/>
          <w:b/>
          <w:bCs/>
        </w:rPr>
      </w:pPr>
      <w:r w:rsidRPr="009E1EEF">
        <w:rPr>
          <w:rFonts w:ascii="Arial" w:hAnsi="Arial" w:cs="Arial"/>
          <w:b/>
          <w:bCs/>
        </w:rPr>
        <w:t xml:space="preserve">Effiziente Kombi: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217-120</w:t>
      </w:r>
      <w:r>
        <w:rPr>
          <w:rFonts w:ascii="Arial" w:hAnsi="Arial" w:cs="Arial"/>
          <w:b/>
          <w:bCs/>
        </w:rPr>
        <w:t xml:space="preserve"> </w:t>
      </w:r>
      <w:r w:rsidRPr="009E1EEF">
        <w:rPr>
          <w:rFonts w:ascii="Arial" w:hAnsi="Arial" w:cs="Arial"/>
          <w:b/>
          <w:bCs/>
        </w:rPr>
        <w:t xml:space="preserve">Brandschutzstein und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330 Brandschutzschaum</w:t>
      </w:r>
    </w:p>
    <w:p w14:paraId="133B6D75" w14:textId="77777777" w:rsidR="00AD2251" w:rsidRPr="009E1EEF" w:rsidRDefault="00AD2251" w:rsidP="00AD2251">
      <w:pPr>
        <w:spacing w:line="308" w:lineRule="exact"/>
        <w:rPr>
          <w:rFonts w:ascii="Arial" w:hAnsi="Arial" w:cs="Arial"/>
        </w:rPr>
      </w:pPr>
      <w:r w:rsidRPr="009E1EEF">
        <w:rPr>
          <w:rFonts w:ascii="Arial" w:hAnsi="Arial" w:cs="Arial"/>
        </w:rPr>
        <w:t xml:space="preserve">Ein weiterer praxisrelevanter Vorteil ergibt sich </w:t>
      </w:r>
      <w:r>
        <w:rPr>
          <w:rFonts w:ascii="Arial" w:hAnsi="Arial" w:cs="Arial"/>
        </w:rPr>
        <w:t>im Längseinbau bei der Kombination der im System einsetzbaren Brandschutzkomponenten</w:t>
      </w:r>
      <w:r w:rsidRPr="009E1EEF">
        <w:rPr>
          <w:rFonts w:ascii="Arial" w:hAnsi="Arial" w:cs="Arial"/>
        </w:rPr>
        <w:t xml:space="preserve">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217-120 Brandschutzstein</w:t>
      </w:r>
      <w:r w:rsidRPr="009E1EEF">
        <w:rPr>
          <w:rFonts w:ascii="Arial" w:hAnsi="Arial" w:cs="Arial"/>
        </w:rPr>
        <w:t xml:space="preserve"> </w:t>
      </w:r>
      <w:r>
        <w:rPr>
          <w:rFonts w:ascii="Arial" w:hAnsi="Arial" w:cs="Arial"/>
        </w:rPr>
        <w:t xml:space="preserve">und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330 Brandschutzschaum</w:t>
      </w:r>
      <w:r w:rsidRPr="009E1EEF">
        <w:rPr>
          <w:rFonts w:ascii="Arial" w:hAnsi="Arial" w:cs="Arial"/>
        </w:rPr>
        <w:t>. Bei</w:t>
      </w:r>
      <w:r>
        <w:rPr>
          <w:rFonts w:ascii="Arial" w:hAnsi="Arial" w:cs="Arial"/>
        </w:rPr>
        <w:t>m</w:t>
      </w:r>
      <w:r w:rsidRPr="009E1EEF">
        <w:rPr>
          <w:rFonts w:ascii="Arial" w:hAnsi="Arial" w:cs="Arial"/>
        </w:rPr>
        <w:t xml:space="preserve">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330</w:t>
      </w:r>
      <w:r w:rsidRPr="009E1EEF">
        <w:rPr>
          <w:rFonts w:ascii="Arial" w:hAnsi="Arial" w:cs="Arial"/>
        </w:rPr>
        <w:t xml:space="preserve"> handelt es sich um ein Zwei-Komponenten-System aus der Kartusche, das in der Bauteilöffnung aufschäumt.</w:t>
      </w:r>
    </w:p>
    <w:p w14:paraId="69E2D008" w14:textId="77777777" w:rsidR="00AD2251" w:rsidRDefault="00AD2251" w:rsidP="00AD2251">
      <w:pPr>
        <w:spacing w:line="308" w:lineRule="exact"/>
        <w:rPr>
          <w:rFonts w:ascii="Arial" w:hAnsi="Arial" w:cs="Arial"/>
        </w:rPr>
      </w:pPr>
      <w:r w:rsidRPr="009E1EEF">
        <w:rPr>
          <w:rFonts w:ascii="Arial" w:hAnsi="Arial" w:cs="Arial"/>
        </w:rPr>
        <w:t xml:space="preserve">Gerade bei schwer zugänglichen oder hochbelegten Durchführungen in Wand und Decke ermöglicht diese Kombination eine schnelle und sichere Verarbeitung. In der letzten Lage einzubringende Brandschutzsteine können durch den Brandschutzschaum ersetzt werden. Für Nachbelegungen entnommene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217-120</w:t>
      </w:r>
      <w:r w:rsidRPr="009E1EEF">
        <w:rPr>
          <w:rFonts w:ascii="Arial" w:hAnsi="Arial" w:cs="Arial"/>
        </w:rPr>
        <w:t xml:space="preserve"> </w:t>
      </w:r>
      <w:r w:rsidRPr="00B54C98">
        <w:rPr>
          <w:rFonts w:ascii="Arial" w:hAnsi="Arial" w:cs="Arial"/>
          <w:b/>
          <w:bCs/>
        </w:rPr>
        <w:t>Brandschutzs</w:t>
      </w:r>
      <w:r w:rsidRPr="009E1EEF">
        <w:rPr>
          <w:rFonts w:ascii="Arial" w:hAnsi="Arial" w:cs="Arial"/>
          <w:b/>
          <w:bCs/>
        </w:rPr>
        <w:t>teine</w:t>
      </w:r>
      <w:r w:rsidRPr="009E1EEF">
        <w:rPr>
          <w:rFonts w:ascii="Arial" w:hAnsi="Arial" w:cs="Arial"/>
        </w:rPr>
        <w:t xml:space="preserve"> lassen sich erneut einsetzen. Das reduziert sowohl den Materialbedarf als auch den Montageaufwand – bei der Erstinstallation ebenso wie im späteren Betrieb.</w:t>
      </w:r>
    </w:p>
    <w:p w14:paraId="61AA4598" w14:textId="77777777" w:rsidR="00285E21" w:rsidRPr="009E1EEF" w:rsidRDefault="00285E21" w:rsidP="00CE1FE4">
      <w:pPr>
        <w:spacing w:line="308" w:lineRule="exact"/>
        <w:rPr>
          <w:rFonts w:ascii="Arial" w:hAnsi="Arial" w:cs="Arial"/>
        </w:rPr>
      </w:pPr>
    </w:p>
    <w:p w14:paraId="311A82F5" w14:textId="77777777" w:rsidR="009E1EEF" w:rsidRPr="00285E21" w:rsidRDefault="009E1EEF" w:rsidP="00CE1FE4">
      <w:pPr>
        <w:spacing w:line="308" w:lineRule="exact"/>
        <w:rPr>
          <w:rFonts w:ascii="Arial" w:hAnsi="Arial" w:cs="Arial"/>
          <w:b/>
          <w:bCs/>
        </w:rPr>
      </w:pPr>
      <w:r w:rsidRPr="00285E21">
        <w:rPr>
          <w:rFonts w:ascii="Arial" w:hAnsi="Arial" w:cs="Arial"/>
          <w:b/>
          <w:bCs/>
        </w:rPr>
        <w:t>Planungssicherheit durch geprüfte Systemlösungen</w:t>
      </w:r>
    </w:p>
    <w:p w14:paraId="237E6D79" w14:textId="214D9232" w:rsidR="00285E21" w:rsidRDefault="009E1EEF" w:rsidP="00CE1FE4">
      <w:pPr>
        <w:spacing w:line="308" w:lineRule="exact"/>
        <w:rPr>
          <w:rFonts w:ascii="Arial" w:hAnsi="Arial" w:cs="Arial"/>
        </w:rPr>
      </w:pPr>
      <w:r w:rsidRPr="009E1EEF">
        <w:rPr>
          <w:rFonts w:ascii="Arial" w:hAnsi="Arial" w:cs="Arial"/>
        </w:rPr>
        <w:t xml:space="preserve">Die geprüften Anwendungsmöglichkeiten der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M21-S90</w:t>
      </w:r>
      <w:r w:rsidRPr="009E1EEF">
        <w:rPr>
          <w:rFonts w:ascii="Arial" w:hAnsi="Arial" w:cs="Arial"/>
        </w:rPr>
        <w:t xml:space="preserve"> sind in der Allgemeinen </w:t>
      </w:r>
      <w:r w:rsidR="00F86A7D" w:rsidRPr="00CE1FE4">
        <w:rPr>
          <w:rFonts w:ascii="Arial" w:hAnsi="Arial" w:cs="Arial"/>
        </w:rPr>
        <w:t>Bauartgenehmigung</w:t>
      </w:r>
      <w:r w:rsidRPr="009E1EEF">
        <w:rPr>
          <w:rFonts w:ascii="Arial" w:hAnsi="Arial" w:cs="Arial"/>
        </w:rPr>
        <w:t xml:space="preserve"> (</w:t>
      </w:r>
      <w:proofErr w:type="spellStart"/>
      <w:r w:rsidR="00A170FB" w:rsidRPr="00CE1FE4">
        <w:rPr>
          <w:rFonts w:ascii="Arial" w:hAnsi="Arial" w:cs="Arial"/>
        </w:rPr>
        <w:t>a</w:t>
      </w:r>
      <w:r w:rsidR="00F86A7D" w:rsidRPr="00CE1FE4">
        <w:rPr>
          <w:rFonts w:ascii="Arial" w:hAnsi="Arial" w:cs="Arial"/>
        </w:rPr>
        <w:t>BG</w:t>
      </w:r>
      <w:proofErr w:type="spellEnd"/>
      <w:r w:rsidRPr="009E1EEF">
        <w:rPr>
          <w:rFonts w:ascii="Arial" w:hAnsi="Arial" w:cs="Arial"/>
        </w:rPr>
        <w:t xml:space="preserve">) </w:t>
      </w:r>
      <w:r w:rsidR="00EC26FF" w:rsidRPr="00CE1FE4">
        <w:rPr>
          <w:rFonts w:ascii="Arial" w:hAnsi="Arial" w:cs="Arial"/>
        </w:rPr>
        <w:t xml:space="preserve">Z-19.53-2440 </w:t>
      </w:r>
      <w:r w:rsidRPr="009E1EEF">
        <w:rPr>
          <w:rFonts w:ascii="Arial" w:hAnsi="Arial" w:cs="Arial"/>
        </w:rPr>
        <w:t xml:space="preserve">dokumentiert und stehen auf </w:t>
      </w:r>
      <w:hyperlink r:id="rId5" w:history="1">
        <w:r w:rsidR="00285E21" w:rsidRPr="00B31616">
          <w:rPr>
            <w:rStyle w:val="Hyperlink"/>
            <w:rFonts w:ascii="Arial" w:hAnsi="Arial" w:cs="Arial"/>
          </w:rPr>
          <w:t>www.z-z.de</w:t>
        </w:r>
      </w:hyperlink>
      <w:r w:rsidR="00285E21">
        <w:rPr>
          <w:rFonts w:ascii="Arial" w:hAnsi="Arial" w:cs="Arial"/>
        </w:rPr>
        <w:t xml:space="preserve"> </w:t>
      </w:r>
      <w:r w:rsidRPr="009E1EEF">
        <w:rPr>
          <w:rFonts w:ascii="Arial" w:hAnsi="Arial" w:cs="Arial"/>
        </w:rPr>
        <w:t>zum Download bereit.</w:t>
      </w:r>
      <w:r w:rsidR="00EC26FF" w:rsidRPr="00CE1FE4">
        <w:rPr>
          <w:rFonts w:ascii="Arial" w:hAnsi="Arial" w:cs="Arial"/>
        </w:rPr>
        <w:t xml:space="preserve"> </w:t>
      </w:r>
    </w:p>
    <w:p w14:paraId="7105E3EE" w14:textId="3161DAD7" w:rsidR="008E2A98" w:rsidRDefault="009E1EEF" w:rsidP="00CE1FE4">
      <w:pPr>
        <w:spacing w:line="308" w:lineRule="exact"/>
        <w:rPr>
          <w:rFonts w:ascii="Arial" w:hAnsi="Arial" w:cs="Arial"/>
        </w:rPr>
      </w:pPr>
      <w:r w:rsidRPr="009E1EEF">
        <w:rPr>
          <w:rFonts w:ascii="Arial" w:hAnsi="Arial" w:cs="Arial"/>
        </w:rPr>
        <w:t xml:space="preserve">Mit der </w:t>
      </w:r>
      <w:r w:rsidR="0036388A" w:rsidRPr="009E1EEF">
        <w:rPr>
          <w:rFonts w:ascii="Arial Black" w:hAnsi="Arial Black" w:cs="Arial"/>
        </w:rPr>
        <w:t>ZZ</w:t>
      </w:r>
      <w:r w:rsidR="0036388A" w:rsidRPr="009E1EEF">
        <w:rPr>
          <w:rFonts w:ascii="Arial Black" w:hAnsi="Arial Black" w:cs="Arial"/>
          <w:b/>
          <w:bCs/>
          <w:vertAlign w:val="superscript"/>
        </w:rPr>
        <w:t>®</w:t>
      </w:r>
      <w:r w:rsidR="0036388A" w:rsidRPr="009E1EEF">
        <w:rPr>
          <w:rFonts w:ascii="Arial" w:hAnsi="Arial" w:cs="Arial"/>
          <w:b/>
          <w:bCs/>
        </w:rPr>
        <w:t xml:space="preserve"> M21-S90</w:t>
      </w:r>
      <w:r w:rsidR="0036388A" w:rsidRPr="009E1EEF">
        <w:rPr>
          <w:rFonts w:ascii="Arial" w:hAnsi="Arial" w:cs="Arial"/>
        </w:rPr>
        <w:t xml:space="preserve"> </w:t>
      </w:r>
      <w:r w:rsidRPr="009E1EEF">
        <w:rPr>
          <w:rFonts w:ascii="Arial" w:hAnsi="Arial" w:cs="Arial"/>
        </w:rPr>
        <w:t xml:space="preserve">zeigt sich, dass moderner baulicher Brandschutz nicht zwangsläufig mit höherem Materialeinsatz oder komplexeren Details einhergehen muss. Im Gegenteil: Durchdachte Systemlösungen, flexible Einbaurichtungen und </w:t>
      </w:r>
      <w:r w:rsidR="00EC34BA" w:rsidRPr="00CE1FE4">
        <w:rPr>
          <w:rFonts w:ascii="Arial" w:hAnsi="Arial" w:cs="Arial"/>
        </w:rPr>
        <w:t>eine umfangreiche Zulassung</w:t>
      </w:r>
      <w:r w:rsidRPr="009E1EEF">
        <w:rPr>
          <w:rFonts w:ascii="Arial" w:hAnsi="Arial" w:cs="Arial"/>
        </w:rPr>
        <w:t xml:space="preserve"> ermöglichen es Planern und Ausführenden, Sicherheit, Wirtschaftlichkeit und Montagefreundlichkeit in Einklang zu bringen – ein entscheidender Mehrwert für anspruchsvolle Bauprojekte.</w:t>
      </w:r>
    </w:p>
    <w:p w14:paraId="12154AEA" w14:textId="77777777" w:rsidR="008E2A98" w:rsidRDefault="008E2A98">
      <w:pPr>
        <w:rPr>
          <w:rFonts w:ascii="Arial" w:hAnsi="Arial" w:cs="Arial"/>
        </w:rPr>
      </w:pPr>
      <w:r>
        <w:rPr>
          <w:rFonts w:ascii="Arial" w:hAnsi="Arial" w:cs="Arial"/>
        </w:rPr>
        <w:br w:type="page"/>
      </w:r>
    </w:p>
    <w:p w14:paraId="55E7C08F" w14:textId="77777777" w:rsidR="008E2A98" w:rsidRDefault="008E2A98" w:rsidP="008E2A98">
      <w:pPr>
        <w:widowControl w:val="0"/>
        <w:spacing w:line="360" w:lineRule="auto"/>
        <w:jc w:val="both"/>
        <w:rPr>
          <w:rFonts w:ascii="Arial" w:hAnsi="Arial"/>
          <w:b/>
          <w:szCs w:val="24"/>
        </w:rPr>
      </w:pPr>
      <w:r w:rsidRPr="002F3842">
        <w:rPr>
          <w:rFonts w:ascii="Arial" w:hAnsi="Arial"/>
          <w:b/>
          <w:szCs w:val="24"/>
        </w:rPr>
        <w:t xml:space="preserve">Bildmaterial: </w:t>
      </w:r>
    </w:p>
    <w:p w14:paraId="36D307B7" w14:textId="77777777" w:rsidR="008E2A98" w:rsidRDefault="008E2A98" w:rsidP="008E2A98">
      <w:pPr>
        <w:widowControl w:val="0"/>
        <w:spacing w:line="360" w:lineRule="auto"/>
        <w:jc w:val="both"/>
        <w:rPr>
          <w:rFonts w:ascii="Arial" w:hAnsi="Arial"/>
          <w:b/>
          <w:szCs w:val="24"/>
        </w:rPr>
      </w:pPr>
    </w:p>
    <w:p w14:paraId="58DBC22F" w14:textId="77777777" w:rsidR="008E2A98" w:rsidRPr="002F3842" w:rsidRDefault="008E2A98" w:rsidP="008E2A98">
      <w:pPr>
        <w:widowControl w:val="0"/>
        <w:spacing w:line="360" w:lineRule="auto"/>
        <w:jc w:val="both"/>
        <w:rPr>
          <w:rFonts w:ascii="Arial" w:hAnsi="Arial"/>
          <w:b/>
          <w:szCs w:val="24"/>
        </w:rPr>
      </w:pPr>
    </w:p>
    <w:p w14:paraId="01B56297" w14:textId="77777777" w:rsidR="008E2A98" w:rsidRDefault="008E2A98" w:rsidP="008E2A98">
      <w:pPr>
        <w:widowControl w:val="0"/>
        <w:spacing w:line="360" w:lineRule="auto"/>
        <w:jc w:val="both"/>
        <w:rPr>
          <w:rFonts w:ascii="Arial" w:hAnsi="Arial"/>
        </w:rPr>
      </w:pPr>
    </w:p>
    <w:p w14:paraId="2693E258" w14:textId="67D59EBF" w:rsidR="008E2A98" w:rsidRDefault="008E2A98" w:rsidP="008E2A98">
      <w:pPr>
        <w:widowControl w:val="0"/>
        <w:spacing w:line="360" w:lineRule="auto"/>
        <w:jc w:val="both"/>
        <w:rPr>
          <w:rFonts w:ascii="Arial" w:hAnsi="Arial"/>
        </w:rPr>
      </w:pPr>
      <w:r>
        <w:rPr>
          <w:noProof/>
        </w:rPr>
        <w:drawing>
          <wp:anchor distT="0" distB="0" distL="114300" distR="114300" simplePos="0" relativeHeight="251659264" behindDoc="1" locked="0" layoutInCell="1" allowOverlap="1" wp14:anchorId="011F206C" wp14:editId="222B8FC0">
            <wp:simplePos x="0" y="0"/>
            <wp:positionH relativeFrom="column">
              <wp:posOffset>-4445</wp:posOffset>
            </wp:positionH>
            <wp:positionV relativeFrom="paragraph">
              <wp:posOffset>-3175</wp:posOffset>
            </wp:positionV>
            <wp:extent cx="2076450" cy="20764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anchor>
        </w:drawing>
      </w:r>
      <w:r w:rsidR="00717878" w:rsidRPr="00717878">
        <w:rPr>
          <w:rFonts w:ascii="Arial Black" w:hAnsi="Arial Black" w:cs="Arial"/>
        </w:rPr>
        <w:t xml:space="preserve"> </w:t>
      </w:r>
      <w:r w:rsidR="00E33877" w:rsidRPr="00E33877">
        <w:rPr>
          <w:rFonts w:ascii="Arial" w:hAnsi="Arial" w:cs="Arial"/>
        </w:rPr>
        <w:t>Die</w:t>
      </w:r>
      <w:r w:rsidR="00E33877">
        <w:rPr>
          <w:rFonts w:ascii="Arial Black" w:hAnsi="Arial Black" w:cs="Arial"/>
        </w:rPr>
        <w:t xml:space="preserve"> </w:t>
      </w:r>
      <w:r w:rsidR="00717878" w:rsidRPr="009E1EEF">
        <w:rPr>
          <w:rFonts w:ascii="Arial Black" w:hAnsi="Arial Black" w:cs="Arial"/>
        </w:rPr>
        <w:t>ZZ</w:t>
      </w:r>
      <w:r w:rsidR="00717878" w:rsidRPr="009E1EEF">
        <w:rPr>
          <w:rFonts w:ascii="Arial Black" w:hAnsi="Arial Black" w:cs="Arial"/>
          <w:vertAlign w:val="superscript"/>
        </w:rPr>
        <w:t>®</w:t>
      </w:r>
      <w:r w:rsidR="00717878" w:rsidRPr="009E1EEF">
        <w:rPr>
          <w:rFonts w:ascii="Arial" w:hAnsi="Arial" w:cs="Arial"/>
        </w:rPr>
        <w:t xml:space="preserve"> </w:t>
      </w:r>
      <w:r w:rsidR="00717878" w:rsidRPr="009E1EEF">
        <w:rPr>
          <w:rFonts w:ascii="Arial" w:hAnsi="Arial" w:cs="Arial"/>
          <w:b/>
          <w:bCs/>
        </w:rPr>
        <w:t>M21-S90</w:t>
      </w:r>
      <w:r w:rsidR="00717878">
        <w:rPr>
          <w:rFonts w:ascii="Arial" w:hAnsi="Arial" w:cs="Arial"/>
          <w:b/>
          <w:bCs/>
        </w:rPr>
        <w:t xml:space="preserve"> </w:t>
      </w:r>
      <w:r w:rsidR="00717878" w:rsidRPr="00DC614A">
        <w:rPr>
          <w:rFonts w:ascii="Arial" w:hAnsi="Arial"/>
          <w:b/>
          <w:bCs/>
        </w:rPr>
        <w:t>Kombiabschottung</w:t>
      </w:r>
      <w:r w:rsidR="00717878">
        <w:rPr>
          <w:rFonts w:ascii="Arial" w:hAnsi="Arial"/>
        </w:rPr>
        <w:t xml:space="preserve"> ermöglicht </w:t>
      </w:r>
      <w:r>
        <w:rPr>
          <w:rFonts w:ascii="Arial" w:hAnsi="Arial"/>
        </w:rPr>
        <w:t>die Ausführung einer S90 Brandabschottung</w:t>
      </w:r>
      <w:r w:rsidRPr="00F66C94">
        <w:rPr>
          <w:rFonts w:ascii="Arial" w:hAnsi="Arial"/>
        </w:rPr>
        <w:t xml:space="preserve"> </w:t>
      </w:r>
      <w:r>
        <w:rPr>
          <w:rFonts w:ascii="Arial" w:hAnsi="Arial"/>
        </w:rPr>
        <w:t>sowohl mit quer als auch mit längs eingebauten Brandschutzsteinen.</w:t>
      </w:r>
    </w:p>
    <w:p w14:paraId="125F1940" w14:textId="77777777" w:rsidR="008E2A98" w:rsidRDefault="008E2A98" w:rsidP="008E2A98">
      <w:pPr>
        <w:widowControl w:val="0"/>
        <w:spacing w:line="360" w:lineRule="auto"/>
        <w:jc w:val="both"/>
        <w:rPr>
          <w:rFonts w:ascii="Arial" w:hAnsi="Arial"/>
        </w:rPr>
      </w:pPr>
    </w:p>
    <w:p w14:paraId="6558571B" w14:textId="77777777" w:rsidR="008E2A98" w:rsidRDefault="008E2A98" w:rsidP="008E2A98">
      <w:pPr>
        <w:widowControl w:val="0"/>
        <w:spacing w:line="360" w:lineRule="auto"/>
        <w:jc w:val="both"/>
        <w:rPr>
          <w:rFonts w:ascii="Arial" w:hAnsi="Arial"/>
        </w:rPr>
      </w:pPr>
    </w:p>
    <w:p w14:paraId="06D82A49" w14:textId="77777777" w:rsidR="003310D4" w:rsidRDefault="003310D4" w:rsidP="008E2A98">
      <w:pPr>
        <w:widowControl w:val="0"/>
        <w:spacing w:line="360" w:lineRule="auto"/>
        <w:jc w:val="both"/>
        <w:rPr>
          <w:rFonts w:ascii="Arial" w:hAnsi="Arial"/>
        </w:rPr>
      </w:pPr>
    </w:p>
    <w:p w14:paraId="0912A31E" w14:textId="77777777" w:rsidR="008E2A98" w:rsidRDefault="008E2A98" w:rsidP="008E2A98">
      <w:pPr>
        <w:widowControl w:val="0"/>
        <w:spacing w:line="360" w:lineRule="auto"/>
        <w:jc w:val="both"/>
        <w:rPr>
          <w:rFonts w:ascii="Arial" w:hAnsi="Arial"/>
        </w:rPr>
      </w:pPr>
    </w:p>
    <w:p w14:paraId="2B08767D" w14:textId="77777777" w:rsidR="008E2A98" w:rsidRDefault="008E2A98" w:rsidP="008E2A98">
      <w:pPr>
        <w:widowControl w:val="0"/>
        <w:spacing w:line="360" w:lineRule="auto"/>
        <w:jc w:val="both"/>
        <w:rPr>
          <w:rFonts w:ascii="Arial" w:hAnsi="Arial"/>
        </w:rPr>
      </w:pPr>
      <w:r>
        <w:rPr>
          <w:rFonts w:ascii="Arial" w:hAnsi="Arial"/>
          <w:noProof/>
        </w:rPr>
        <w:drawing>
          <wp:anchor distT="0" distB="0" distL="114300" distR="114300" simplePos="0" relativeHeight="251656192" behindDoc="0" locked="0" layoutInCell="1" allowOverlap="1" wp14:anchorId="7C367B49" wp14:editId="2E2D921A">
            <wp:simplePos x="0" y="0"/>
            <wp:positionH relativeFrom="margin">
              <wp:align>left</wp:align>
            </wp:positionH>
            <wp:positionV relativeFrom="paragraph">
              <wp:posOffset>222250</wp:posOffset>
            </wp:positionV>
            <wp:extent cx="2124075" cy="2124075"/>
            <wp:effectExtent l="0" t="0" r="9525" b="9525"/>
            <wp:wrapThrough wrapText="bothSides">
              <wp:wrapPolygon edited="0">
                <wp:start x="0" y="0"/>
                <wp:lineTo x="0" y="21503"/>
                <wp:lineTo x="21503" y="21503"/>
                <wp:lineTo x="21503" y="0"/>
                <wp:lineTo x="0" y="0"/>
              </wp:wrapPolygon>
            </wp:wrapThrough>
            <wp:docPr id="4" name="Grafik 4" descr="D:\AAWORK\Kunden\Zapp-Zimmermann\Bilder\PI-Kombischott ZZ-Steine 170 BDS-N\ZZ-Stein_170_004-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WORK\Kunden\Zapp-Zimmermann\Bilder\PI-Kombischott ZZ-Steine 170 BDS-N\ZZ-Stein_170_004-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FD8C1E" w14:textId="73867093" w:rsidR="008E2A98" w:rsidRDefault="008E2A98" w:rsidP="008E2A98">
      <w:pPr>
        <w:widowControl w:val="0"/>
        <w:spacing w:line="360" w:lineRule="auto"/>
        <w:rPr>
          <w:rFonts w:ascii="Arial" w:hAnsi="Arial"/>
        </w:rPr>
      </w:pPr>
      <w:r>
        <w:rPr>
          <w:rFonts w:ascii="Arial" w:hAnsi="Arial"/>
        </w:rPr>
        <w:t xml:space="preserve">Längseinbau in der </w:t>
      </w:r>
      <w:r w:rsidRPr="009E1EEF">
        <w:rPr>
          <w:rFonts w:ascii="Arial Black" w:hAnsi="Arial Black" w:cs="Arial"/>
        </w:rPr>
        <w:t>ZZ</w:t>
      </w:r>
      <w:r w:rsidRPr="009E1EEF">
        <w:rPr>
          <w:rFonts w:ascii="Arial Black" w:hAnsi="Arial Black" w:cs="Arial"/>
          <w:vertAlign w:val="superscript"/>
        </w:rPr>
        <w:t>®</w:t>
      </w:r>
      <w:r w:rsidRPr="009E1EEF">
        <w:rPr>
          <w:rFonts w:ascii="Arial" w:hAnsi="Arial" w:cs="Arial"/>
        </w:rPr>
        <w:t xml:space="preserve"> </w:t>
      </w:r>
      <w:r w:rsidRPr="009E1EEF">
        <w:rPr>
          <w:rFonts w:ascii="Arial" w:hAnsi="Arial" w:cs="Arial"/>
          <w:b/>
          <w:bCs/>
        </w:rPr>
        <w:t>M21-S90</w:t>
      </w:r>
      <w:r>
        <w:rPr>
          <w:rFonts w:ascii="Arial" w:hAnsi="Arial" w:cs="Arial"/>
          <w:b/>
          <w:bCs/>
        </w:rPr>
        <w:t xml:space="preserve"> </w:t>
      </w:r>
      <w:r w:rsidRPr="00DC614A">
        <w:rPr>
          <w:rFonts w:ascii="Arial" w:hAnsi="Arial"/>
          <w:b/>
          <w:bCs/>
        </w:rPr>
        <w:t>Kombiabschottung</w:t>
      </w:r>
    </w:p>
    <w:p w14:paraId="5EAFBF81" w14:textId="3E37D8DD" w:rsidR="008E2A98" w:rsidRDefault="008E2A98" w:rsidP="008E2A98">
      <w:pPr>
        <w:widowControl w:val="0"/>
        <w:spacing w:line="360" w:lineRule="auto"/>
        <w:rPr>
          <w:rFonts w:ascii="Arial" w:hAnsi="Arial"/>
        </w:rPr>
      </w:pPr>
      <w:r>
        <w:rPr>
          <w:rFonts w:ascii="Arial" w:hAnsi="Arial"/>
        </w:rPr>
        <w:t>Durch</w:t>
      </w:r>
      <w:r>
        <w:rPr>
          <w:rFonts w:ascii="Arial" w:hAnsi="Arial" w:cs="Arial"/>
        </w:rPr>
        <w:t xml:space="preserve"> die Kombination </w:t>
      </w:r>
      <w:r w:rsidRPr="00187311">
        <w:rPr>
          <w:rFonts w:ascii="Arial" w:hAnsi="Arial" w:cs="Arial"/>
        </w:rPr>
        <w:t>der im System einsetzbaren Brandschutzkomponenten</w:t>
      </w:r>
      <w:r w:rsidRPr="009E1EEF">
        <w:rPr>
          <w:rFonts w:ascii="Arial" w:hAnsi="Arial" w:cs="Arial"/>
        </w:rPr>
        <w:t xml:space="preserve"> </w:t>
      </w:r>
      <w:r w:rsidRPr="009E1EEF">
        <w:rPr>
          <w:rFonts w:ascii="Arial Black" w:hAnsi="Arial Black" w:cs="Arial"/>
        </w:rPr>
        <w:t>ZZ</w:t>
      </w:r>
      <w:r w:rsidRPr="009E1EEF">
        <w:rPr>
          <w:rFonts w:ascii="Arial Black" w:hAnsi="Arial Black" w:cs="Arial"/>
          <w:vertAlign w:val="superscript"/>
        </w:rPr>
        <w:t>®</w:t>
      </w:r>
      <w:r w:rsidRPr="00187311">
        <w:rPr>
          <w:rFonts w:ascii="Arial" w:hAnsi="Arial" w:cs="Arial"/>
        </w:rPr>
        <w:t xml:space="preserve"> </w:t>
      </w:r>
      <w:r w:rsidRPr="00187311">
        <w:rPr>
          <w:rFonts w:ascii="Arial" w:hAnsi="Arial" w:cs="Arial"/>
          <w:b/>
          <w:bCs/>
        </w:rPr>
        <w:t>217-120 Brandschutzstein</w:t>
      </w:r>
      <w:r w:rsidRPr="00187311">
        <w:rPr>
          <w:rFonts w:ascii="Arial" w:hAnsi="Arial" w:cs="Arial"/>
        </w:rPr>
        <w:t xml:space="preserve"> und </w:t>
      </w:r>
      <w:r w:rsidRPr="009E1EEF">
        <w:rPr>
          <w:rFonts w:ascii="Arial Black" w:hAnsi="Arial Black" w:cs="Arial"/>
        </w:rPr>
        <w:t>ZZ</w:t>
      </w:r>
      <w:r w:rsidRPr="009E1EEF">
        <w:rPr>
          <w:rFonts w:ascii="Arial Black" w:hAnsi="Arial Black" w:cs="Arial"/>
          <w:vertAlign w:val="superscript"/>
        </w:rPr>
        <w:t>®</w:t>
      </w:r>
      <w:r w:rsidRPr="00187311">
        <w:rPr>
          <w:rFonts w:ascii="Arial" w:hAnsi="Arial" w:cs="Arial"/>
        </w:rPr>
        <w:t xml:space="preserve"> </w:t>
      </w:r>
      <w:r w:rsidRPr="00187311">
        <w:rPr>
          <w:rFonts w:ascii="Arial" w:hAnsi="Arial" w:cs="Arial"/>
          <w:b/>
          <w:bCs/>
        </w:rPr>
        <w:t>330 Brandschutzschaum</w:t>
      </w:r>
      <w:r w:rsidRPr="00187311">
        <w:rPr>
          <w:rFonts w:ascii="Arial" w:hAnsi="Arial" w:cs="Arial"/>
        </w:rPr>
        <w:t xml:space="preserve"> </w:t>
      </w:r>
      <w:r>
        <w:rPr>
          <w:rFonts w:ascii="Arial" w:hAnsi="Arial" w:cs="Arial"/>
        </w:rPr>
        <w:t xml:space="preserve">können auch schwer zugängliche und hochbelegte Bereiche sicher abgeschottet werden. </w:t>
      </w:r>
    </w:p>
    <w:p w14:paraId="1752ADA7" w14:textId="77777777" w:rsidR="008E2A98" w:rsidRDefault="008E2A98" w:rsidP="008E2A98">
      <w:pPr>
        <w:widowControl w:val="0"/>
        <w:spacing w:line="360" w:lineRule="auto"/>
        <w:jc w:val="both"/>
        <w:rPr>
          <w:rFonts w:ascii="Arial" w:hAnsi="Arial"/>
        </w:rPr>
      </w:pPr>
    </w:p>
    <w:p w14:paraId="7CBC1166" w14:textId="77777777" w:rsidR="003310D4" w:rsidRDefault="003310D4" w:rsidP="008E2A98">
      <w:pPr>
        <w:widowControl w:val="0"/>
        <w:spacing w:line="360" w:lineRule="auto"/>
        <w:jc w:val="both"/>
        <w:rPr>
          <w:rFonts w:ascii="Arial" w:hAnsi="Arial"/>
        </w:rPr>
      </w:pPr>
    </w:p>
    <w:p w14:paraId="1E60F40A" w14:textId="77777777" w:rsidR="003310D4" w:rsidRDefault="003310D4" w:rsidP="008E2A98">
      <w:pPr>
        <w:widowControl w:val="0"/>
        <w:spacing w:line="360" w:lineRule="auto"/>
        <w:jc w:val="both"/>
        <w:rPr>
          <w:rFonts w:ascii="Arial" w:hAnsi="Arial"/>
        </w:rPr>
      </w:pPr>
    </w:p>
    <w:p w14:paraId="614F1191" w14:textId="742D2CA6" w:rsidR="009E1EEF" w:rsidRDefault="008E2A98" w:rsidP="004911B8">
      <w:pPr>
        <w:spacing w:before="240" w:line="308" w:lineRule="exact"/>
        <w:rPr>
          <w:rFonts w:ascii="Arial" w:hAnsi="Arial"/>
          <w:b/>
          <w:bCs/>
        </w:rPr>
      </w:pPr>
      <w:r>
        <w:rPr>
          <w:noProof/>
        </w:rPr>
        <w:drawing>
          <wp:anchor distT="0" distB="0" distL="114300" distR="114300" simplePos="0" relativeHeight="251657216" behindDoc="0" locked="0" layoutInCell="1" allowOverlap="1" wp14:anchorId="02BEB8B3" wp14:editId="2DDAE27A">
            <wp:simplePos x="0" y="0"/>
            <wp:positionH relativeFrom="margin">
              <wp:align>left</wp:align>
            </wp:positionH>
            <wp:positionV relativeFrom="paragraph">
              <wp:posOffset>13335</wp:posOffset>
            </wp:positionV>
            <wp:extent cx="2124075" cy="2124075"/>
            <wp:effectExtent l="0" t="0" r="9525" b="9525"/>
            <wp:wrapThrough wrapText="bothSides">
              <wp:wrapPolygon edited="0">
                <wp:start x="0" y="0"/>
                <wp:lineTo x="0" y="21503"/>
                <wp:lineTo x="21503" y="21503"/>
                <wp:lineTo x="21503"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rPr>
        <w:t>Quereinbau</w:t>
      </w:r>
      <w:r w:rsidR="00717878">
        <w:rPr>
          <w:rFonts w:ascii="Arial" w:hAnsi="Arial"/>
        </w:rPr>
        <w:t xml:space="preserve"> </w:t>
      </w:r>
      <w:r w:rsidR="00717878">
        <w:rPr>
          <w:rFonts w:ascii="Arial" w:hAnsi="Arial"/>
        </w:rPr>
        <w:t xml:space="preserve">in der </w:t>
      </w:r>
      <w:r w:rsidR="00717878" w:rsidRPr="009E1EEF">
        <w:rPr>
          <w:rFonts w:ascii="Arial Black" w:hAnsi="Arial Black" w:cs="Arial"/>
        </w:rPr>
        <w:t>ZZ</w:t>
      </w:r>
      <w:r w:rsidR="00717878" w:rsidRPr="009E1EEF">
        <w:rPr>
          <w:rFonts w:ascii="Arial Black" w:hAnsi="Arial Black" w:cs="Arial"/>
          <w:vertAlign w:val="superscript"/>
        </w:rPr>
        <w:t>®</w:t>
      </w:r>
      <w:r w:rsidR="00717878" w:rsidRPr="009E1EEF">
        <w:rPr>
          <w:rFonts w:ascii="Arial" w:hAnsi="Arial" w:cs="Arial"/>
        </w:rPr>
        <w:t xml:space="preserve"> </w:t>
      </w:r>
      <w:r w:rsidR="00717878" w:rsidRPr="009E1EEF">
        <w:rPr>
          <w:rFonts w:ascii="Arial" w:hAnsi="Arial" w:cs="Arial"/>
          <w:b/>
          <w:bCs/>
        </w:rPr>
        <w:t>M21-S90</w:t>
      </w:r>
      <w:r w:rsidR="00717878">
        <w:rPr>
          <w:rFonts w:ascii="Arial" w:hAnsi="Arial" w:cs="Arial"/>
          <w:b/>
          <w:bCs/>
        </w:rPr>
        <w:t xml:space="preserve"> </w:t>
      </w:r>
      <w:r w:rsidR="00717878" w:rsidRPr="00DC614A">
        <w:rPr>
          <w:rFonts w:ascii="Arial" w:hAnsi="Arial"/>
          <w:b/>
          <w:bCs/>
        </w:rPr>
        <w:t>Kombiabschottung</w:t>
      </w:r>
    </w:p>
    <w:p w14:paraId="5E5E7329" w14:textId="1906AF38" w:rsidR="009D6E87" w:rsidRPr="007E33DB" w:rsidRDefault="009D6E87" w:rsidP="004911B8">
      <w:pPr>
        <w:widowControl w:val="0"/>
        <w:spacing w:before="240" w:line="360" w:lineRule="auto"/>
        <w:jc w:val="both"/>
        <w:rPr>
          <w:rFonts w:ascii="Arial" w:hAnsi="Arial"/>
        </w:rPr>
      </w:pPr>
      <w:r>
        <w:rPr>
          <w:rFonts w:ascii="Arial" w:hAnsi="Arial"/>
        </w:rPr>
        <w:t xml:space="preserve">Mit gleicher Steinanzahl lässt sich eine bis zu </w:t>
      </w:r>
      <w:r w:rsidRPr="00636F89">
        <w:rPr>
          <w:rFonts w:ascii="Arial" w:hAnsi="Arial"/>
        </w:rPr>
        <w:t xml:space="preserve">42 % </w:t>
      </w:r>
      <w:r w:rsidRPr="009E1EEF">
        <w:rPr>
          <w:rFonts w:ascii="Arial" w:hAnsi="Arial" w:cs="Arial"/>
        </w:rPr>
        <w:t xml:space="preserve">größere Öffnungsfläche sicher verschließen. </w:t>
      </w:r>
      <w:r w:rsidR="005A7E96">
        <w:rPr>
          <w:rFonts w:ascii="Arial" w:hAnsi="Arial"/>
        </w:rPr>
        <w:t>Darüber hinaus vereinfachen</w:t>
      </w:r>
      <w:r w:rsidR="000D2627">
        <w:rPr>
          <w:rFonts w:ascii="Arial" w:hAnsi="Arial"/>
        </w:rPr>
        <w:t xml:space="preserve"> w</w:t>
      </w:r>
      <w:r w:rsidRPr="00636F89">
        <w:rPr>
          <w:rFonts w:ascii="Arial" w:hAnsi="Arial"/>
        </w:rPr>
        <w:t>eniger Montageschritte die Ausführung.</w:t>
      </w:r>
    </w:p>
    <w:p w14:paraId="521A02CC" w14:textId="51A28FED" w:rsidR="009E1EEF" w:rsidRPr="009D6E87" w:rsidRDefault="009E1EEF" w:rsidP="00CE1FE4">
      <w:pPr>
        <w:spacing w:line="308" w:lineRule="exact"/>
        <w:rPr>
          <w:rFonts w:ascii="Arial" w:hAnsi="Arial" w:cs="Arial"/>
        </w:rPr>
      </w:pPr>
    </w:p>
    <w:sectPr w:rsidR="009E1EEF" w:rsidRPr="009D6E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F01BD"/>
    <w:multiLevelType w:val="multilevel"/>
    <w:tmpl w:val="DCE6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00E9C"/>
    <w:multiLevelType w:val="multilevel"/>
    <w:tmpl w:val="4FE8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894609">
    <w:abstractNumId w:val="0"/>
  </w:num>
  <w:num w:numId="2" w16cid:durableId="167144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EF"/>
    <w:rsid w:val="00044FB5"/>
    <w:rsid w:val="00080E04"/>
    <w:rsid w:val="000D2627"/>
    <w:rsid w:val="001052E6"/>
    <w:rsid w:val="00124769"/>
    <w:rsid w:val="00153531"/>
    <w:rsid w:val="001D10FD"/>
    <w:rsid w:val="001E4570"/>
    <w:rsid w:val="00260AE8"/>
    <w:rsid w:val="00285E21"/>
    <w:rsid w:val="002F7AEE"/>
    <w:rsid w:val="003310D4"/>
    <w:rsid w:val="0036388A"/>
    <w:rsid w:val="00405DC9"/>
    <w:rsid w:val="00411965"/>
    <w:rsid w:val="0048448D"/>
    <w:rsid w:val="004911B8"/>
    <w:rsid w:val="004A1608"/>
    <w:rsid w:val="004B72C7"/>
    <w:rsid w:val="005964EC"/>
    <w:rsid w:val="005A7E96"/>
    <w:rsid w:val="006155BB"/>
    <w:rsid w:val="00667DB1"/>
    <w:rsid w:val="00684235"/>
    <w:rsid w:val="006B1271"/>
    <w:rsid w:val="006D7172"/>
    <w:rsid w:val="006F4CC0"/>
    <w:rsid w:val="00717878"/>
    <w:rsid w:val="00731784"/>
    <w:rsid w:val="00737C31"/>
    <w:rsid w:val="007C1603"/>
    <w:rsid w:val="008A1B54"/>
    <w:rsid w:val="008E2A98"/>
    <w:rsid w:val="00904028"/>
    <w:rsid w:val="009A6B2C"/>
    <w:rsid w:val="009D6E87"/>
    <w:rsid w:val="009E1EEF"/>
    <w:rsid w:val="00A170FB"/>
    <w:rsid w:val="00A2124B"/>
    <w:rsid w:val="00A901AF"/>
    <w:rsid w:val="00AD2251"/>
    <w:rsid w:val="00AF2FC3"/>
    <w:rsid w:val="00B1523C"/>
    <w:rsid w:val="00B54C98"/>
    <w:rsid w:val="00BA3C90"/>
    <w:rsid w:val="00BB7703"/>
    <w:rsid w:val="00C2451B"/>
    <w:rsid w:val="00CE1FE4"/>
    <w:rsid w:val="00D40C60"/>
    <w:rsid w:val="00E33877"/>
    <w:rsid w:val="00EC26FF"/>
    <w:rsid w:val="00EC34BA"/>
    <w:rsid w:val="00F000D2"/>
    <w:rsid w:val="00F158D7"/>
    <w:rsid w:val="00F63C57"/>
    <w:rsid w:val="00F86A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9A44"/>
  <w15:chartTrackingRefBased/>
  <w15:docId w15:val="{569E0516-F23E-44E7-95F0-5DED3609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E1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1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1E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1E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1E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1E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1E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1E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1E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1E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1E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1E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1E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1E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1E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1E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1E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1EEF"/>
    <w:rPr>
      <w:rFonts w:eastAsiaTheme="majorEastAsia" w:cstheme="majorBidi"/>
      <w:color w:val="272727" w:themeColor="text1" w:themeTint="D8"/>
    </w:rPr>
  </w:style>
  <w:style w:type="paragraph" w:styleId="Titel">
    <w:name w:val="Title"/>
    <w:basedOn w:val="Standard"/>
    <w:next w:val="Standard"/>
    <w:link w:val="TitelZchn"/>
    <w:uiPriority w:val="10"/>
    <w:qFormat/>
    <w:rsid w:val="009E1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1E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1E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1E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1E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1EEF"/>
    <w:rPr>
      <w:i/>
      <w:iCs/>
      <w:color w:val="404040" w:themeColor="text1" w:themeTint="BF"/>
    </w:rPr>
  </w:style>
  <w:style w:type="paragraph" w:styleId="Listenabsatz">
    <w:name w:val="List Paragraph"/>
    <w:basedOn w:val="Standard"/>
    <w:uiPriority w:val="34"/>
    <w:qFormat/>
    <w:rsid w:val="009E1EEF"/>
    <w:pPr>
      <w:ind w:left="720"/>
      <w:contextualSpacing/>
    </w:pPr>
  </w:style>
  <w:style w:type="character" w:styleId="IntensiveHervorhebung">
    <w:name w:val="Intense Emphasis"/>
    <w:basedOn w:val="Absatz-Standardschriftart"/>
    <w:uiPriority w:val="21"/>
    <w:qFormat/>
    <w:rsid w:val="009E1EEF"/>
    <w:rPr>
      <w:i/>
      <w:iCs/>
      <w:color w:val="0F4761" w:themeColor="accent1" w:themeShade="BF"/>
    </w:rPr>
  </w:style>
  <w:style w:type="paragraph" w:styleId="IntensivesZitat">
    <w:name w:val="Intense Quote"/>
    <w:basedOn w:val="Standard"/>
    <w:next w:val="Standard"/>
    <w:link w:val="IntensivesZitatZchn"/>
    <w:uiPriority w:val="30"/>
    <w:qFormat/>
    <w:rsid w:val="009E1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1EEF"/>
    <w:rPr>
      <w:i/>
      <w:iCs/>
      <w:color w:val="0F4761" w:themeColor="accent1" w:themeShade="BF"/>
    </w:rPr>
  </w:style>
  <w:style w:type="character" w:styleId="IntensiverVerweis">
    <w:name w:val="Intense Reference"/>
    <w:basedOn w:val="Absatz-Standardschriftart"/>
    <w:uiPriority w:val="32"/>
    <w:qFormat/>
    <w:rsid w:val="009E1EEF"/>
    <w:rPr>
      <w:b/>
      <w:bCs/>
      <w:smallCaps/>
      <w:color w:val="0F4761" w:themeColor="accent1" w:themeShade="BF"/>
      <w:spacing w:val="5"/>
    </w:rPr>
  </w:style>
  <w:style w:type="character" w:styleId="Hyperlink">
    <w:name w:val="Hyperlink"/>
    <w:basedOn w:val="Absatz-Standardschriftart"/>
    <w:uiPriority w:val="99"/>
    <w:unhideWhenUsed/>
    <w:rsid w:val="00285E21"/>
    <w:rPr>
      <w:color w:val="467886" w:themeColor="hyperlink"/>
      <w:u w:val="single"/>
    </w:rPr>
  </w:style>
  <w:style w:type="character" w:styleId="NichtaufgelsteErwhnung">
    <w:name w:val="Unresolved Mention"/>
    <w:basedOn w:val="Absatz-Standardschriftart"/>
    <w:uiPriority w:val="99"/>
    <w:semiHidden/>
    <w:unhideWhenUsed/>
    <w:rsid w:val="0028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customXml" Target="../customXml/item1.xml"/><Relationship Id="rId5" Type="http://schemas.openxmlformats.org/officeDocument/2006/relationships/hyperlink" Target="http://www.z-z.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0AB52D9E9179449FAD7B776D22BAF7" ma:contentTypeVersion="17" ma:contentTypeDescription="Ein neues Dokument erstellen." ma:contentTypeScope="" ma:versionID="9f2252482acba61dd678c2a7afd1c71f">
  <xsd:schema xmlns:xsd="http://www.w3.org/2001/XMLSchema" xmlns:xs="http://www.w3.org/2001/XMLSchema" xmlns:p="http://schemas.microsoft.com/office/2006/metadata/properties" xmlns:ns2="c0695f83-e800-4632-b545-37800364a274" xmlns:ns3="7b0dbd90-fd3a-412f-b774-d3983ccd05e8" targetNamespace="http://schemas.microsoft.com/office/2006/metadata/properties" ma:root="true" ma:fieldsID="c36d2e09d66d8d46452bcf070386925e" ns2:_="" ns3:_="">
    <xsd:import namespace="c0695f83-e800-4632-b545-37800364a274"/>
    <xsd:import namespace="7b0dbd90-fd3a-412f-b774-d3983ccd0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95f83-e800-4632-b545-37800364a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6edc89a-8792-4499-b140-536a51b739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dbd90-fd3a-412f-b774-d3983ccd05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61bccb-1eb6-47a7-bdfd-ac235cc70109}" ma:internalName="TaxCatchAll" ma:showField="CatchAllData" ma:web="7b0dbd90-fd3a-412f-b774-d3983ccd0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695f83-e800-4632-b545-37800364a274">
      <Terms xmlns="http://schemas.microsoft.com/office/infopath/2007/PartnerControls"/>
    </lcf76f155ced4ddcb4097134ff3c332f>
    <TaxCatchAll xmlns="7b0dbd90-fd3a-412f-b774-d3983ccd05e8" xsi:nil="true"/>
  </documentManagement>
</p:properties>
</file>

<file path=customXml/itemProps1.xml><?xml version="1.0" encoding="utf-8"?>
<ds:datastoreItem xmlns:ds="http://schemas.openxmlformats.org/officeDocument/2006/customXml" ds:itemID="{66F11403-0E8D-4B74-B868-02A61E1FD49B}"/>
</file>

<file path=customXml/itemProps2.xml><?xml version="1.0" encoding="utf-8"?>
<ds:datastoreItem xmlns:ds="http://schemas.openxmlformats.org/officeDocument/2006/customXml" ds:itemID="{98F15758-09D9-4C90-9752-34F68122C6CA}"/>
</file>

<file path=customXml/itemProps3.xml><?xml version="1.0" encoding="utf-8"?>
<ds:datastoreItem xmlns:ds="http://schemas.openxmlformats.org/officeDocument/2006/customXml" ds:itemID="{14AE1A1F-DD0A-42BF-9A8E-D685D10D37F8}"/>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4488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 Ellen</dc:creator>
  <cp:keywords/>
  <dc:description/>
  <cp:lastModifiedBy>Manz, Ellen</cp:lastModifiedBy>
  <cp:revision>2</cp:revision>
  <cp:lastPrinted>2026-04-15T12:43:00Z</cp:lastPrinted>
  <dcterms:created xsi:type="dcterms:W3CDTF">2026-04-15T13:13:00Z</dcterms:created>
  <dcterms:modified xsi:type="dcterms:W3CDTF">2026-04-15T13:13:00Z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0x010100910AB52D9E9179449FAD7B776D22BAF7</vt:lpwstr>
  </property>
</Properties>
</file>